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03A55" w14:textId="77777777" w:rsidR="00B7048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1FAACAE3" w14:textId="77777777" w:rsidR="00B7048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636319D" w14:textId="77777777" w:rsidR="00B7048E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181A5B5C" w14:textId="77777777" w:rsidR="00B7048E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62F8DB2" w14:textId="77777777" w:rsidR="00B7048E" w:rsidRDefault="00B704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4"/>
        <w:gridCol w:w="1357"/>
        <w:gridCol w:w="1873"/>
        <w:gridCol w:w="1874"/>
        <w:gridCol w:w="1414"/>
        <w:gridCol w:w="6"/>
        <w:gridCol w:w="456"/>
        <w:gridCol w:w="1897"/>
      </w:tblGrid>
      <w:tr w:rsidR="00B7048E" w14:paraId="40202BF6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5BC520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7" w:type="dxa"/>
            <w:gridSpan w:val="7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0A61FD6" w14:textId="77777777" w:rsidR="00B7048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Praktyka zawodowa. Oddział ginekologii i położnictwa.</w:t>
            </w:r>
          </w:p>
        </w:tc>
      </w:tr>
      <w:tr w:rsidR="00B7048E" w14:paraId="2892956A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34054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807A6B1" w14:textId="4241B5D4" w:rsidR="00B7048E" w:rsidRDefault="00B7048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B7048E" w14:paraId="30635F64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AD76E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5A75B38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B7048E" w14:paraId="2C246AB9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4F5678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1B51CF3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B7048E" w14:paraId="0DBE4D9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1F09E3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DCAF24E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B7048E" w14:paraId="203A500E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569F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30EF783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B7048E" w14:paraId="4CB9CAFC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DFF7A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1DED5B8" w14:textId="77777777" w:rsidR="00B7048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VI</w:t>
            </w:r>
          </w:p>
        </w:tc>
      </w:tr>
      <w:tr w:rsidR="00B7048E" w14:paraId="4300B0B8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D08E8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F3B5A37" w14:textId="77777777" w:rsidR="00B7048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B7048E" w14:paraId="221648C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85A4A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5FC7B62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7048E" w14:paraId="7CD3EA02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2BC87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A3776C3" w14:textId="77777777" w:rsidR="00B7048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B7048E" w14:paraId="3C3DDCD3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C54064" w14:textId="77777777" w:rsidR="00B7048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2442B4B" w14:textId="77777777" w:rsidR="00B7048E" w:rsidRDefault="0000000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 praktyki zawodowe student przychodzi przygotowany, punktualnie, wyposażony w stosowne umundurowaniu i obuwie odpowiednie do pracy wewnątrzszpitalnej. W trakcie zajęć cechuje się nienaganną postawą etyczną względem pacjentów i zespołu.</w:t>
            </w:r>
          </w:p>
        </w:tc>
      </w:tr>
      <w:tr w:rsidR="00B7048E" w14:paraId="7EE2F2DB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4D58CE" w14:textId="77777777" w:rsidR="00B7048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E549B9F" w14:textId="77777777" w:rsidR="00B7048E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organizacją Oddziału Ginekologii i Położnictwa oraz wskazaniami do przyjęcia do Oddziału Ginekologii i Położnictwa. Zapoznanie z metodami diagnostyki i leczenia stosowanymi w Oddziale Ginekologii i Położnictwa. Kształtowanie umiejętności opieki nad kobietą ciężarną, noworodkiem oraz nad pacjentem w stanie zagrożenia życia wynikającym z problemów ginekologicznych. Zapoznanie studentów z monitorowaniem funkcji życiowych kobiety oraz dziecka w okresie porodu oraz okresie poporodowym z uwrażliwieniem na zachowanie tajemnicy medycznej oraz poszanowania praw pacjenta</w:t>
            </w:r>
          </w:p>
        </w:tc>
      </w:tr>
      <w:tr w:rsidR="00B7048E" w14:paraId="6421C03F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8BC26D" w14:textId="77777777" w:rsidR="00B7048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3AECE01" w14:textId="77777777" w:rsidR="00B7048E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B7048E" w14:paraId="70B33F34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DD92074" w14:textId="77777777" w:rsidR="00B7048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DBEEDBE" w14:textId="77777777" w:rsidR="00B7048E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B7048E" w14:paraId="4B7505CF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278C9C09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4ADFB5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7048E" w14:paraId="329B9337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6CB4FB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5C67F8C5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18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BF7383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C.W5. odrębności morfologiczno-fizjologiczne poszczególnych narządów i układów organizmu człowieka w wieku rozwojowym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ABF292E" w14:textId="77777777" w:rsidR="00B7048E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dokumentacja praktyki, obserwacja pracy studenta</w:t>
            </w:r>
          </w:p>
        </w:tc>
      </w:tr>
      <w:tr w:rsidR="00B7048E" w14:paraId="5B5B295E" w14:textId="77777777">
        <w:trPr>
          <w:trHeight w:val="399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56B8617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903E36A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C.W6. fizjologię i patofizjologię okresu noworodkowego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384928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43D4E82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4EF0EF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67DEF59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C.W7. wybrane wady wrodzone i choroby uwarunkowane genetycznie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53D9BC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67C4FDA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DBC8F5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FB94B33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86C874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762CFB4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44D980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B58BC71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C.W77 techniki przyjęcia porodu nagłego w warunkach pozaszpitalnych;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6423D0D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00227D1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6AFDD28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C41AC8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C.W101 stany zagrożenia zdrowotnego w ginekologii i położnictwie;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5441690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4D3F34F9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25889D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28F6BDCA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CDBAC93" w14:textId="77777777" w:rsidR="00B7048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C.U4. przeprowadzić badanie fizykalne pacjenta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278541A" w14:textId="77777777" w:rsidR="00B7048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7048E" w14:paraId="18ABECD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E011E5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1B4514" w14:textId="77777777" w:rsidR="00B7048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C.U6. ocenić stan noworodka w skali APGAR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35BD4C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71AB39F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A8F076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A1D8CDF" w14:textId="77777777" w:rsidR="00B7048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C.U55 przyjmować poród nagły w warunkach pozaszpitalnych;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AB23516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0CB1719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DAF884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B7CC6AD" w14:textId="77777777" w:rsidR="00B7048E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CDEDC2C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48E" w14:paraId="66F69C03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E601743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1769118D" w14:textId="77777777" w:rsidR="00B7048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4D30825" w14:textId="77777777" w:rsidR="00B7048E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EEC3694" w14:textId="77777777" w:rsidR="00B7048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B7048E" w14:paraId="24C7300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CC0D89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8301092" w14:textId="77777777" w:rsidR="00B7048E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K.2. przewidywania i uwzględniania czynników wpływających na reakcje własne i pacjenta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6F875AD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7048E" w14:paraId="7453CCC8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89A57B" w14:textId="77777777" w:rsidR="00B7048E" w:rsidRDefault="00B7048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9E109D" w14:textId="77777777" w:rsidR="00B7048E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F021F8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7048E" w14:paraId="18085EB8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DE3FC82" w14:textId="77777777" w:rsidR="00B7048E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5AEEB4" w14:textId="77777777" w:rsidR="00B7048E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4184434F" w14:textId="77777777" w:rsidR="00B7048E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0A171853" w14:textId="77777777" w:rsidR="00B7048E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330CEDD6" w14:textId="77777777" w:rsidR="00B7048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9" w:type="dxa"/>
            <w:gridSpan w:val="3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20D01BD" w14:textId="77777777" w:rsidR="00B7048E" w:rsidRDefault="00B7048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B7048E" w14:paraId="730D0751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266F05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7DD2CF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B7048E" w14:paraId="5C97DD8D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5DEB080" w14:textId="77777777" w:rsidR="00B7048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nad kobietą ze schorzeniami ginekologicznymi w różnych okresach jej życia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B2604ED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B7048E" w14:paraId="092C64B8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91B41D0" w14:textId="77777777" w:rsidR="00B7048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nad kobietą ciężarną, rodzącą oraz w okresie poporodowym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5B8AF5D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B7048E" w14:paraId="6879E09F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720A9D5" w14:textId="77777777" w:rsidR="00B7048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nad noworodkiem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B2012B2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B7048E" w14:paraId="284B248E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6AB292D" w14:textId="77777777" w:rsidR="00B7048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Zapoznanie z obowiązującymi regulacjami prawnymi wpływającymi na zasady wykonywania medycznych czynności ratunkowych, w tym ochrony danych wrażliwych i realizacji praw pacjenta.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F576F07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B7048E" w14:paraId="7BE8F736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5C61A39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B7048E" w14:paraId="77BE032C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360D225" w14:textId="77777777" w:rsidR="00B7048E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246AB547" w14:textId="77777777" w:rsidR="00B7048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2CB9247C" w14:textId="77777777" w:rsidR="00B7048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55B96BA8" w14:textId="77777777" w:rsidR="00B7048E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4563F83A" w14:textId="77777777" w:rsidR="00B7048E" w:rsidRDefault="00B7048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6AE00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B7048E" w14:paraId="63ADD03C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8CB2A2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B7048E" w14:paraId="54368D42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1A7068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756FAC1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EDEA80F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E241A9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8FDADAF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6FD02BD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35F09A5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4001B185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C040619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16AAB32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B7048E" w14:paraId="362B3CB7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D5ECA0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8E3932F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9262D6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3E6BA1A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57E7C24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106D654C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D3BD98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091D57C6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5BCFB74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E0777A4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85BAFF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4863C28B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B7048E" w14:paraId="18C35286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3C519BD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B7938A9" w14:textId="77777777" w:rsidR="00B7048E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47F6C6E" w14:textId="77777777" w:rsidR="00B7048E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076FAB48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620A8B2C" w14:textId="77777777" w:rsidR="00B7048E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98A02A8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E94C18B" w14:textId="77777777" w:rsidR="00B7048E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BD1DB85" w14:textId="77777777" w:rsidR="00B7048E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CDF57FA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1F3F09C8" w14:textId="77777777" w:rsidR="00B7048E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0671027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CE3817C" w14:textId="77777777" w:rsidR="00B7048E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5EEB394D" w14:textId="77777777" w:rsidR="00B7048E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1023537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4CC02438" w14:textId="77777777" w:rsidR="00B7048E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23A5CC1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404FFFA" w14:textId="77777777" w:rsidR="00B7048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1EDCE594" w14:textId="77777777" w:rsidR="00B7048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1B601B63" w14:textId="77777777" w:rsidR="00B7048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5107566B" w14:textId="77777777" w:rsidR="00B7048E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                 - przejawia chęć ciągłego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18B1C37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0C63F8C" w14:textId="77777777" w:rsidR="00B7048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0080C856" w14:textId="77777777" w:rsidR="00B7048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67924310" w14:textId="77777777" w:rsidR="00B7048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123A303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F31AC76" w14:textId="77777777" w:rsidR="00B7048E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2FB22D2B" w14:textId="77777777" w:rsidR="00B7048E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17B9FAA" w14:textId="77777777" w:rsidR="00B7048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EA91CD0" w14:textId="77777777" w:rsidR="00B7048E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B7048E" w14:paraId="26FB356B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84194EE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B7048E" w14:paraId="69C293DD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3D243D" w14:textId="77777777" w:rsidR="00B7048E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Dębski R. Stany nagłe w ginekologii i położnictwie Medical Tribune Polska Warszawa 2012</w:t>
            </w:r>
          </w:p>
          <w:p w14:paraId="5AA3EDE2" w14:textId="77777777" w:rsidR="00B7048E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Bręborowicz G.H. Położnictwo i ginekologia tom I i II, PZWL Warszawa 2014</w:t>
            </w:r>
          </w:p>
          <w:p w14:paraId="5DE9DA01" w14:textId="77777777" w:rsidR="00B7048E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Obowiązujące Rozporządzenie Ministra Zdrowia w sprawie medycznych czynności ratunkowych i świadczeń zdrowotnych innych niż medyczne czynności ratunkowe, które mogą być udzielane przez ratownika medycznego</w:t>
            </w:r>
          </w:p>
          <w:p w14:paraId="6F5D4F92" w14:textId="77777777" w:rsidR="00B7048E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J. Andres (red.), Wytyczne resuscytacji 2025, Polska Rada Resuscytacji Kraków 2025</w:t>
            </w:r>
          </w:p>
        </w:tc>
      </w:tr>
      <w:tr w:rsidR="00B7048E" w14:paraId="2FF465D8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8AF80FD" w14:textId="77777777" w:rsidR="00B7048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B7048E" w14:paraId="1E08B2E1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F3D394" w14:textId="77777777" w:rsidR="00B7048E" w:rsidRDefault="00B704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</w:p>
        </w:tc>
      </w:tr>
    </w:tbl>
    <w:p w14:paraId="4EC31A9C" w14:textId="77777777" w:rsidR="00B7048E" w:rsidRDefault="00B7048E">
      <w:pPr>
        <w:spacing w:after="200" w:line="276" w:lineRule="auto"/>
      </w:pPr>
    </w:p>
    <w:sectPr w:rsidR="00B7048E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5D91" w14:textId="77777777" w:rsidR="00EB020D" w:rsidRDefault="00EB020D">
      <w:pPr>
        <w:spacing w:after="0" w:line="240" w:lineRule="auto"/>
      </w:pPr>
      <w:r>
        <w:separator/>
      </w:r>
    </w:p>
  </w:endnote>
  <w:endnote w:type="continuationSeparator" w:id="0">
    <w:p w14:paraId="34C45C9B" w14:textId="77777777" w:rsidR="00EB020D" w:rsidRDefault="00EB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3BFD" w14:textId="77777777" w:rsidR="00B7048E" w:rsidRDefault="00B704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F42D" w14:textId="77777777" w:rsidR="00B7048E" w:rsidRDefault="00B7048E">
    <w:pPr>
      <w:pStyle w:val="Stopka"/>
    </w:pPr>
  </w:p>
  <w:p w14:paraId="101B2B8E" w14:textId="77777777" w:rsidR="00B7048E" w:rsidRDefault="00B704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6AD5" w14:textId="77777777" w:rsidR="00B7048E" w:rsidRDefault="00B7048E">
    <w:pPr>
      <w:pStyle w:val="Stopka"/>
    </w:pPr>
  </w:p>
  <w:p w14:paraId="6D1D5B99" w14:textId="77777777" w:rsidR="00B7048E" w:rsidRDefault="00B70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55DB0" w14:textId="77777777" w:rsidR="00EB020D" w:rsidRDefault="00EB020D">
      <w:pPr>
        <w:spacing w:after="0" w:line="240" w:lineRule="auto"/>
      </w:pPr>
      <w:r>
        <w:separator/>
      </w:r>
    </w:p>
  </w:footnote>
  <w:footnote w:type="continuationSeparator" w:id="0">
    <w:p w14:paraId="68F2F693" w14:textId="77777777" w:rsidR="00EB020D" w:rsidRDefault="00EB0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8EA"/>
    <w:multiLevelType w:val="multilevel"/>
    <w:tmpl w:val="7070E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914B48"/>
    <w:multiLevelType w:val="multilevel"/>
    <w:tmpl w:val="7D5A4A4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5A6231"/>
    <w:multiLevelType w:val="multilevel"/>
    <w:tmpl w:val="795079A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063955"/>
    <w:multiLevelType w:val="multilevel"/>
    <w:tmpl w:val="53AC7E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947334"/>
    <w:multiLevelType w:val="multilevel"/>
    <w:tmpl w:val="CCA8C17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46765D"/>
    <w:multiLevelType w:val="multilevel"/>
    <w:tmpl w:val="06B23CA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3194CE1"/>
    <w:multiLevelType w:val="multilevel"/>
    <w:tmpl w:val="21A06D7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6671EF0"/>
    <w:multiLevelType w:val="multilevel"/>
    <w:tmpl w:val="45E84BC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9D5C01"/>
    <w:multiLevelType w:val="multilevel"/>
    <w:tmpl w:val="BE3A6B1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91809752">
    <w:abstractNumId w:val="5"/>
  </w:num>
  <w:num w:numId="2" w16cid:durableId="690454086">
    <w:abstractNumId w:val="6"/>
  </w:num>
  <w:num w:numId="3" w16cid:durableId="1314409091">
    <w:abstractNumId w:val="2"/>
  </w:num>
  <w:num w:numId="4" w16cid:durableId="1708531545">
    <w:abstractNumId w:val="8"/>
  </w:num>
  <w:num w:numId="5" w16cid:durableId="1768503372">
    <w:abstractNumId w:val="4"/>
  </w:num>
  <w:num w:numId="6" w16cid:durableId="1122381614">
    <w:abstractNumId w:val="1"/>
  </w:num>
  <w:num w:numId="7" w16cid:durableId="1033337677">
    <w:abstractNumId w:val="7"/>
  </w:num>
  <w:num w:numId="8" w16cid:durableId="1709260705">
    <w:abstractNumId w:val="3"/>
  </w:num>
  <w:num w:numId="9" w16cid:durableId="167287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48E"/>
    <w:rsid w:val="0039287B"/>
    <w:rsid w:val="00B7048E"/>
    <w:rsid w:val="00D17509"/>
    <w:rsid w:val="00EB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4A391"/>
  <w15:docId w15:val="{F7011269-F1D2-4F53-885D-B30184BF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overflowPunct w:val="0"/>
    </w:pPr>
    <w:rPr>
      <w:rFonts w:ascii="Times New Roman" w:eastAsia="SimSun" w:hAnsi="Times New Roman" w:cs="Times New Roman"/>
      <w:kern w:val="0"/>
      <w:sz w:val="24"/>
      <w:lang w:bidi="ar-SA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pPr>
      <w:overflowPunct w:val="0"/>
    </w:pPr>
    <w:rPr>
      <w:rFonts w:ascii="Times New Roman" w:eastAsia="SimSun" w:hAnsi="Times New Roman" w:cs="Calibri"/>
      <w:kern w:val="0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pPr>
      <w:overflowPunct w:val="0"/>
    </w:pPr>
    <w:rPr>
      <w:rFonts w:ascii="Times New Roman" w:eastAsia="Times New Roman" w:hAnsi="Times New Roman" w:cs="Calibri"/>
      <w:color w:val="000000"/>
      <w:kern w:val="0"/>
      <w:sz w:val="24"/>
      <w:lang w:eastAsia="ar-SA" w:bidi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1137</Words>
  <Characters>6824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50</cp:revision>
  <cp:lastPrinted>2022-12-14T08:33:00Z</cp:lastPrinted>
  <dcterms:created xsi:type="dcterms:W3CDTF">2021-10-20T12:26:00Z</dcterms:created>
  <dcterms:modified xsi:type="dcterms:W3CDTF">2026-06-24T12:08:00Z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